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Cs/>
          <w:spacing w:val="-17"/>
          <w:sz w:val="44"/>
          <w:szCs w:val="44"/>
          <w:shd w:val="clear" w:color="auto" w:fill="FFFFFF"/>
        </w:rPr>
      </w:pPr>
      <w:r>
        <w:rPr>
          <w:rFonts w:hint="eastAsia" w:ascii="方正小标宋简体" w:hAnsi="方正小标宋简体" w:eastAsia="方正小标宋简体" w:cs="方正小标宋简体"/>
          <w:bCs/>
          <w:spacing w:val="-17"/>
          <w:sz w:val="44"/>
          <w:szCs w:val="44"/>
          <w:shd w:val="clear" w:color="auto" w:fill="FFFFFF"/>
        </w:rPr>
        <w:t>淄博市审计局</w:t>
      </w:r>
    </w:p>
    <w:p>
      <w:pPr>
        <w:pStyle w:val="9"/>
        <w:widowControl/>
        <w:shd w:val="clear" w:color="auto" w:fill="FFFFFF"/>
        <w:spacing w:before="0" w:beforeAutospacing="0" w:after="0" w:afterAutospacing="0" w:line="560" w:lineRule="exact"/>
        <w:jc w:val="center"/>
        <w:rPr>
          <w:rFonts w:ascii="方正小标宋简体" w:hAnsi="方正小标宋简体" w:eastAsia="方正小标宋简体" w:cs="方正小标宋简体"/>
          <w:bCs/>
          <w:sz w:val="44"/>
          <w:szCs w:val="44"/>
          <w:shd w:val="clear" w:color="auto" w:fill="FFFFFF"/>
        </w:rPr>
      </w:pPr>
      <w:r>
        <w:rPr>
          <w:rFonts w:ascii="Times New Roman" w:hAnsi="Times New Roman" w:eastAsia="方正小标宋简体"/>
          <w:bCs/>
          <w:spacing w:val="-17"/>
          <w:sz w:val="44"/>
          <w:szCs w:val="44"/>
          <w:shd w:val="clear" w:color="auto" w:fill="FFFFFF"/>
        </w:rPr>
        <w:t>2022</w:t>
      </w:r>
      <w:r>
        <w:rPr>
          <w:rFonts w:hint="eastAsia" w:ascii="方正小标宋简体" w:hAnsi="方正小标宋简体" w:eastAsia="方正小标宋简体" w:cs="方正小标宋简体"/>
          <w:bCs/>
          <w:spacing w:val="-17"/>
          <w:sz w:val="44"/>
          <w:szCs w:val="44"/>
          <w:shd w:val="clear" w:color="auto" w:fill="FFFFFF"/>
        </w:rPr>
        <w:t>年政府信息公开工作</w:t>
      </w:r>
      <w:r>
        <w:rPr>
          <w:rFonts w:hint="eastAsia" w:ascii="方正小标宋简体" w:hAnsi="方正小标宋简体" w:eastAsia="方正小标宋简体" w:cs="方正小标宋简体"/>
          <w:bCs/>
          <w:sz w:val="44"/>
          <w:szCs w:val="44"/>
          <w:shd w:val="clear" w:color="auto" w:fill="FFFFFF"/>
        </w:rPr>
        <w:t>年度报告</w:t>
      </w:r>
    </w:p>
    <w:p>
      <w:pPr>
        <w:pStyle w:val="9"/>
        <w:widowControl/>
        <w:shd w:val="clear" w:color="auto" w:fill="FFFFFF"/>
        <w:spacing w:before="0" w:beforeAutospacing="0" w:after="0" w:afterAutospacing="0" w:line="560" w:lineRule="exact"/>
        <w:jc w:val="both"/>
        <w:rPr>
          <w:rFonts w:ascii="宋体" w:hAnsi="宋体" w:eastAsia="宋体" w:cs="宋体"/>
          <w:szCs w:val="24"/>
        </w:rPr>
      </w:pPr>
    </w:p>
    <w:p>
      <w:pPr>
        <w:pStyle w:val="9"/>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报告中所列数据的统计期限自2022年1月1日起，至2022年12月31日止。如对报告内容有疑问，请与淄博市审计局联系（地址：淄博市张店区联通路306号市直机关第一综合办公楼；邮编：255000；电话：0533-3887313；邮箱：zbssjjbgs@zb.shandong.cn）。</w:t>
      </w:r>
    </w:p>
    <w:p>
      <w:pPr>
        <w:pStyle w:val="9"/>
        <w:widowControl/>
        <w:shd w:val="clear" w:color="auto" w:fill="FFFFFF"/>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shd w:val="clear" w:color="auto" w:fill="FFFFFF"/>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2022年，市审计局认真贯彻落实上级关于政务公开工作的各项决策部署，充分发挥政务公开在建设服务政府、法治政府、效能政府、廉洁政府等方面的促进作用，各项工作取得新进展。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持续加大主动公开力度。一是强化决策公开，主动公开11次局长办公会议情况，全部配套制作图解，便于民众阅读理解。二是加强审计结果公开，及时发布2022年度审计项目计划，以及2021年度市级预算执行和其他财政收支审计工作报告和整改报告，召开新闻发布会解读《审计法》修订、预算执行审计情况及整改情况等，主动公开专项审计结果。三是加强解读回应，综合运用图片、视频、音频、动漫等形式，对出台文件、年度报告、审计工作等进行多角度解读。</w:t>
      </w:r>
    </w:p>
    <w:p>
      <w:pPr>
        <w:spacing w:line="560" w:lineRule="exact"/>
        <w:ind w:firstLine="640" w:firstLineChars="200"/>
        <w:rPr>
          <w:rFonts w:eastAsia="仿宋_GB2312"/>
        </w:rPr>
      </w:pPr>
      <w:r>
        <w:rPr>
          <w:rFonts w:hint="eastAsia" w:ascii="仿宋_GB2312" w:hAnsi="仿宋_GB2312" w:eastAsia="仿宋_GB2312" w:cs="仿宋_GB2312"/>
          <w:sz w:val="32"/>
          <w:szCs w:val="32"/>
        </w:rPr>
        <w:t>（二）依法依规做好依申请公开。</w:t>
      </w:r>
      <w:r>
        <w:rPr>
          <w:rFonts w:hint="eastAsia" w:ascii="仿宋_GB2312" w:eastAsia="仿宋_GB2312"/>
          <w:sz w:val="32"/>
          <w:szCs w:val="32"/>
        </w:rPr>
        <w:t>进一步理顺依申请公开登记、审核、办理、答复、归档等工作程序，加强会商研判，严格依法依规办理。2022年度，我机关办理政府信息公开申请4件，与2021年度持平，均为自然人申请，主要涉及人大代表建议和政协</w:t>
      </w:r>
      <w:bookmarkStart w:id="10" w:name="_GoBack"/>
      <w:r>
        <w:rPr>
          <w:rFonts w:hint="eastAsia" w:ascii="仿宋_GB2312" w:eastAsia="仿宋_GB2312"/>
          <w:sz w:val="32"/>
          <w:szCs w:val="32"/>
        </w:rPr>
        <w:t>委员</w:t>
      </w:r>
      <w:bookmarkEnd w:id="10"/>
      <w:r>
        <w:rPr>
          <w:rFonts w:hint="eastAsia" w:ascii="仿宋_GB2312" w:eastAsia="仿宋_GB2312"/>
          <w:sz w:val="32"/>
          <w:szCs w:val="32"/>
        </w:rPr>
        <w:t>提案、审计结果等。共作出政府信息公开申请答复书4件，</w:t>
      </w:r>
      <w:r>
        <w:rPr>
          <w:rFonts w:hint="eastAsia" w:ascii="仿宋_GB2312" w:hAnsi="仿宋_GB2312" w:eastAsia="仿宋_GB2312" w:cs="仿宋_GB2312"/>
          <w:sz w:val="32"/>
          <w:szCs w:val="32"/>
        </w:rPr>
        <w:t>因本机关不掌握相关政府信息和没有现成信息需要另行制作而均无法提供。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（三）不断强化政府信息管理。及时调整完善政府信息主动公开目录，</w:t>
      </w:r>
      <w:r>
        <w:rPr>
          <w:rFonts w:hint="eastAsia" w:ascii="仿宋_GB2312" w:hAnsi="仿宋_GB2312" w:eastAsia="仿宋_GB2312" w:cs="仿宋_GB2312"/>
          <w:snapToGrid w:val="0"/>
          <w:spacing w:val="-6"/>
          <w:kern w:val="0"/>
          <w:sz w:val="32"/>
          <w:szCs w:val="32"/>
        </w:rPr>
        <w:t>推行主动公开“日日清”、网站更新“季季测”，确保目录内容定期更新维护</w:t>
      </w:r>
      <w:r>
        <w:rPr>
          <w:rFonts w:hint="eastAsia" w:ascii="仿宋_GB2312" w:hAnsi="仿宋_GB2312" w:eastAsia="仿宋_GB2312" w:cs="仿宋_GB2312"/>
          <w:sz w:val="32"/>
          <w:szCs w:val="32"/>
        </w:rPr>
        <w:t>。严格落实公文公开属性源头认定机制和解读材料“三同步”制度，通过</w:t>
      </w:r>
      <w:r>
        <w:rPr>
          <w:rFonts w:hint="eastAsia" w:ascii="仿宋_GB2312" w:eastAsia="仿宋_GB2312"/>
          <w:sz w:val="32"/>
          <w:szCs w:val="32"/>
        </w:rPr>
        <w:t>“一事一审查”、“先审查、后公开”等保密审查措施，确保信息发布规范、准确。</w:t>
      </w:r>
      <w:r>
        <w:rPr>
          <w:rFonts w:hint="eastAsia" w:ascii="仿宋_GB2312" w:hAnsi="仿宋_GB2312" w:eastAsia="仿宋_GB2312" w:cs="仿宋_GB2312"/>
          <w:snapToGrid w:val="0"/>
          <w:spacing w:val="-6"/>
          <w:kern w:val="0"/>
          <w:sz w:val="32"/>
          <w:szCs w:val="32"/>
        </w:rPr>
        <w:t>加强政府信息全生命周期管理, 健全政府信息公开属性的源头认定机制, 完善公文起草、发文办理、政府信息动态调整机制，</w:t>
      </w:r>
      <w:r>
        <w:rPr>
          <w:rFonts w:hint="eastAsia" w:ascii="仿宋_GB2312" w:eastAsia="仿宋_GB2312"/>
          <w:sz w:val="32"/>
          <w:szCs w:val="32"/>
        </w:rPr>
        <w:t>定期公开规范性文件清理结果，2022年度无需要清理的规范性文件。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（四）创新平台建设手段。加强门户网站建设，做好法定主动公开内容专栏的日常检查、维护和更新，完善信息发布、解读回应、互动交流等功能。打造政务新媒体矩阵，开设“淄博审计”微信公众号，</w:t>
      </w:r>
      <w:r>
        <w:rPr>
          <w:rFonts w:hint="eastAsia" w:ascii="仿宋_GB2312" w:eastAsia="仿宋_GB2312"/>
          <w:sz w:val="32"/>
          <w:szCs w:val="32"/>
        </w:rPr>
        <w:t>展示审计工作，讲好审计故事，共刊发文章270余篇。在办公场所</w:t>
      </w:r>
      <w:r>
        <w:rPr>
          <w:rFonts w:hint="eastAsia" w:ascii="仿宋_GB2312" w:hAnsi="仿宋_GB2312" w:eastAsia="仿宋_GB2312" w:cs="仿宋_GB2312"/>
          <w:sz w:val="32"/>
          <w:szCs w:val="32"/>
        </w:rPr>
        <w:t>设立审计政务公开特色专区，统筹设计布局，分“序篇”“红色领航铸审魂（党建篇）”“履职尽责促发展（担当篇）”“春华秋实满庭芳（荣誉篇）”四部分内容全方位、立体式展示审计工作。</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（五）落实监督保障措施。</w:t>
      </w:r>
      <w:r>
        <w:rPr>
          <w:rFonts w:hint="eastAsia" w:ascii="仿宋_GB2312" w:eastAsia="仿宋_GB2312"/>
          <w:sz w:val="32"/>
          <w:szCs w:val="32"/>
        </w:rPr>
        <w:t>根据工作需要和人员变动情况，及时调整政务公开工作领导小组及其办公室组成人员，明确政务公开工作负责机构，召开2次政务公开工作领导小组会议研究部署推进工作，党组会和局长办公会3次专题研究政务公开。举办和参加政务公开专题培训3次，累计培训130余人次。</w:t>
      </w:r>
    </w:p>
    <w:p>
      <w:pPr>
        <w:pStyle w:val="2"/>
      </w:pPr>
    </w:p>
    <w:p>
      <w:pPr>
        <w:pStyle w:val="9"/>
        <w:widowControl/>
        <w:shd w:val="clear" w:color="auto" w:fill="FFFFFF"/>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shd w:val="clear" w:color="auto" w:fill="FFFFFF"/>
        </w:rPr>
        <w:t>二、主动公开政府信息情况</w:t>
      </w:r>
    </w:p>
    <w:tbl>
      <w:tblPr>
        <w:tblStyle w:val="10"/>
        <w:tblW w:w="8820" w:type="dxa"/>
        <w:tblInd w:w="0" w:type="dxa"/>
        <w:tblLayout w:type="fixed"/>
        <w:tblCellMar>
          <w:top w:w="0" w:type="dxa"/>
          <w:left w:w="108" w:type="dxa"/>
          <w:bottom w:w="0" w:type="dxa"/>
          <w:right w:w="108" w:type="dxa"/>
        </w:tblCellMar>
      </w:tblPr>
      <w:tblGrid>
        <w:gridCol w:w="2205"/>
        <w:gridCol w:w="2205"/>
        <w:gridCol w:w="2205"/>
        <w:gridCol w:w="2205"/>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spacing w:line="560" w:lineRule="exact"/>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spacing w:line="560" w:lineRule="exact"/>
              <w:jc w:val="left"/>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spacing w:line="560" w:lineRule="exact"/>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bl>
    <w:p>
      <w:pPr>
        <w:spacing w:line="560" w:lineRule="exact"/>
        <w:ind w:firstLine="640" w:firstLineChars="200"/>
        <w:rPr>
          <w:rFonts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三、收到和处理政府信息公开申请情况</w:t>
      </w:r>
    </w:p>
    <w:tbl>
      <w:tblPr>
        <w:tblStyle w:val="10"/>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1"/>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spacing w:line="560" w:lineRule="exact"/>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53" w:type="dxa"/>
            <w:gridSpan w:val="7"/>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spacing w:line="560" w:lineRule="exact"/>
              <w:jc w:val="left"/>
              <w:rPr>
                <w:rFonts w:ascii="仿宋_GB2312" w:hAnsi="Times New Roman" w:eastAsia="仿宋_GB2312"/>
                <w:szCs w:val="21"/>
              </w:rPr>
            </w:pPr>
          </w:p>
        </w:tc>
        <w:tc>
          <w:tcPr>
            <w:tcW w:w="75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自然人</w:t>
            </w:r>
          </w:p>
        </w:tc>
        <w:tc>
          <w:tcPr>
            <w:tcW w:w="30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tcBorders>
              <w:top w:val="single" w:color="auto" w:sz="8" w:space="0"/>
              <w:left w:val="single" w:color="auto" w:sz="8" w:space="0"/>
              <w:bottom w:val="single" w:color="auto" w:sz="4" w:space="0"/>
              <w:right w:val="single" w:color="auto" w:sz="4" w:space="0"/>
            </w:tcBorders>
            <w:vAlign w:val="center"/>
          </w:tcPr>
          <w:p>
            <w:pPr>
              <w:widowControl/>
              <w:spacing w:line="560" w:lineRule="exact"/>
              <w:jc w:val="left"/>
              <w:rPr>
                <w:rFonts w:ascii="仿宋_GB2312" w:hAnsi="Times New Roman" w:eastAsia="仿宋_GB2312"/>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560" w:lineRule="exact"/>
              <w:jc w:val="left"/>
              <w:rPr>
                <w:rFonts w:ascii="黑体" w:hAns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4</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二、上年结转政府信息公开申请数量</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三、本年度办理结果</w:t>
            </w:r>
          </w:p>
        </w:tc>
        <w:tc>
          <w:tcPr>
            <w:tcW w:w="467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（一）予以公开</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467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56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（六）其他处理</w:t>
            </w: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kern w:val="0"/>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黑体" w:hAnsi="黑体" w:eastAsia="黑体"/>
                <w:kern w:val="0"/>
                <w:szCs w:val="21"/>
              </w:rPr>
            </w:pPr>
          </w:p>
        </w:tc>
        <w:tc>
          <w:tcPr>
            <w:tcW w:w="29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仿宋_GB2312" w:hAnsi="黑体" w:eastAsia="仿宋_GB2312"/>
                <w:kern w:val="0"/>
                <w:szCs w:val="21"/>
              </w:rPr>
            </w:pPr>
            <w:r>
              <w:rPr>
                <w:rFonts w:hint="eastAsia" w:ascii="仿宋_GB2312" w:hAnsi="楷体" w:eastAsia="仿宋_GB2312"/>
              </w:rPr>
              <w:t>3.其他</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60" w:lineRule="exact"/>
              <w:jc w:val="left"/>
              <w:rPr>
                <w:rFonts w:ascii="黑体" w:hAnsi="黑体" w:eastAsia="黑体"/>
                <w:szCs w:val="21"/>
              </w:rPr>
            </w:pPr>
          </w:p>
        </w:tc>
        <w:tc>
          <w:tcPr>
            <w:tcW w:w="467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（七）总计</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4</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四、结转下年度继续办理</w:t>
            </w:r>
          </w:p>
        </w:tc>
        <w:tc>
          <w:tcPr>
            <w:tcW w:w="751"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0"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20"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675"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26"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1"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spacing w:line="560" w:lineRule="exact"/>
        <w:ind w:firstLine="640" w:firstLineChars="200"/>
        <w:rPr>
          <w:rFonts w:ascii="仿宋_GB2312" w:eastAsia="仿宋_GB2312"/>
          <w:sz w:val="32"/>
          <w:szCs w:val="32"/>
        </w:rPr>
      </w:pPr>
      <w:r>
        <w:rPr>
          <w:rFonts w:hint="eastAsia" w:ascii="黑体" w:hAnsi="黑体" w:eastAsia="黑体" w:cs="黑体"/>
          <w:bCs/>
          <w:kern w:val="0"/>
          <w:sz w:val="32"/>
          <w:szCs w:val="32"/>
          <w:shd w:val="clear" w:color="auto" w:fill="FFFFFF"/>
        </w:rPr>
        <w:t>四、政府信息公开行政复议、行政诉讼情况</w:t>
      </w:r>
    </w:p>
    <w:tbl>
      <w:tblPr>
        <w:tblStyle w:val="10"/>
        <w:tblW w:w="907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05"/>
        <w:gridCol w:w="605"/>
        <w:gridCol w:w="605"/>
        <w:gridCol w:w="605"/>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r>
              <w:rPr>
                <w:rFonts w:hint="eastAsia"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r>
              <w:rPr>
                <w:rFonts w:hint="eastAsia" w:ascii="黑体" w:hAnsi="黑体" w:eastAsia="黑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49" w:leftChars="-71" w:right="-170" w:rightChars="-81"/>
              <w:jc w:val="center"/>
              <w:rPr>
                <w:rFonts w:ascii="黑体" w:hAnsi="黑体" w:eastAsia="黑体"/>
                <w:kern w:val="0"/>
                <w:sz w:val="20"/>
                <w:szCs w:val="20"/>
              </w:rPr>
            </w:pPr>
            <w:r>
              <w:rPr>
                <w:rFonts w:hint="eastAsia" w:ascii="黑体" w:hAnsi="黑体" w:eastAsia="黑体"/>
                <w:kern w:val="0"/>
                <w:sz w:val="20"/>
                <w:szCs w:val="20"/>
              </w:rPr>
              <w:t>结果</w:t>
            </w:r>
          </w:p>
          <w:p>
            <w:pPr>
              <w:widowControl/>
              <w:spacing w:line="560" w:lineRule="exact"/>
              <w:ind w:left="-149" w:leftChars="-71" w:right="-170" w:rightChars="-81"/>
              <w:jc w:val="center"/>
              <w:rPr>
                <w:rFonts w:ascii="黑体" w:hAnsi="黑体" w:eastAsia="黑体"/>
              </w:rPr>
            </w:pPr>
            <w:r>
              <w:rPr>
                <w:rFonts w:hint="eastAsia"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43" w:leftChars="-21" w:right="-132" w:rightChars="-63" w:hanging="1"/>
              <w:jc w:val="center"/>
              <w:rPr>
                <w:rFonts w:ascii="黑体" w:hAnsi="黑体" w:eastAsia="黑体"/>
              </w:rPr>
            </w:pPr>
            <w:r>
              <w:rPr>
                <w:rFonts w:hint="eastAsia"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2" w:leftChars="-39" w:right="-97" w:rightChars="-46"/>
              <w:jc w:val="center"/>
              <w:rPr>
                <w:rFonts w:ascii="黑体" w:hAnsi="黑体" w:eastAsia="黑体"/>
              </w:rPr>
            </w:pPr>
            <w:r>
              <w:rPr>
                <w:rFonts w:hint="eastAsia"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18" w:leftChars="-56" w:right="-118" w:rightChars="-56"/>
              <w:jc w:val="center"/>
              <w:rPr>
                <w:rFonts w:ascii="黑体" w:hAnsi="黑体" w:eastAsia="黑体"/>
                <w:kern w:val="0"/>
                <w:sz w:val="20"/>
                <w:szCs w:val="20"/>
              </w:rPr>
            </w:pPr>
            <w:r>
              <w:rPr>
                <w:rFonts w:hint="eastAsia" w:ascii="黑体" w:hAnsi="黑体" w:eastAsia="黑体"/>
                <w:kern w:val="0"/>
                <w:sz w:val="20"/>
                <w:szCs w:val="20"/>
              </w:rPr>
              <w:t>尚未</w:t>
            </w:r>
          </w:p>
          <w:p>
            <w:pPr>
              <w:widowControl/>
              <w:spacing w:line="560" w:lineRule="exact"/>
              <w:ind w:left="-118" w:leftChars="-56" w:right="-118" w:rightChars="-56"/>
              <w:jc w:val="center"/>
              <w:rPr>
                <w:rFonts w:ascii="黑体" w:hAnsi="黑体" w:eastAsia="黑体"/>
              </w:rPr>
            </w:pPr>
            <w:r>
              <w:rPr>
                <w:rFonts w:hint="eastAsia"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kern w:val="0"/>
                <w:sz w:val="20"/>
                <w:szCs w:val="20"/>
              </w:rPr>
            </w:pPr>
            <w:r>
              <w:rPr>
                <w:rFonts w:hint="eastAsia" w:ascii="黑体" w:hAnsi="黑体" w:eastAsia="黑体"/>
                <w:kern w:val="0"/>
                <w:sz w:val="20"/>
                <w:szCs w:val="20"/>
              </w:rPr>
              <w:t>总</w:t>
            </w:r>
          </w:p>
          <w:p>
            <w:pPr>
              <w:widowControl/>
              <w:spacing w:line="560" w:lineRule="exact"/>
              <w:jc w:val="center"/>
              <w:rPr>
                <w:rFonts w:ascii="黑体" w:hAnsi="黑体" w:eastAsia="黑体"/>
              </w:rPr>
            </w:pPr>
            <w:r>
              <w:rPr>
                <w:rFonts w:hint="eastAsia"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r>
              <w:rPr>
                <w:rFonts w:hint="eastAsia"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bookmarkStart w:id="9" w:name="_Hlk67039688"/>
            <w:r>
              <w:rPr>
                <w:rFonts w:hint="eastAsia" w:ascii="黑体" w:hAnsi="黑体" w:eastAsia="黑体"/>
                <w:kern w:val="0"/>
                <w:sz w:val="20"/>
                <w:szCs w:val="20"/>
              </w:rPr>
              <w:t>复议后起诉</w:t>
            </w:r>
            <w:bookmarkEnd w:id="9"/>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3074" w:type="dxa"/>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黑体" w:hAnsi="黑体" w:eastAsia="黑体"/>
              </w:rPr>
            </w:pPr>
          </w:p>
        </w:tc>
        <w:tc>
          <w:tcPr>
            <w:tcW w:w="604" w:type="dxa"/>
            <w:vMerge w:val="continue"/>
            <w:tcBorders>
              <w:top w:val="nil"/>
              <w:left w:val="nil"/>
              <w:bottom w:val="single" w:color="auto" w:sz="8" w:space="0"/>
              <w:right w:val="single" w:color="auto" w:sz="8" w:space="0"/>
            </w:tcBorders>
            <w:vAlign w:val="center"/>
          </w:tcPr>
          <w:p>
            <w:pPr>
              <w:widowControl/>
              <w:spacing w:line="560" w:lineRule="exact"/>
              <w:jc w:val="left"/>
              <w:rPr>
                <w:rFonts w:ascii="黑体" w:hAnsi="黑体" w:eastAsia="黑体"/>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黑体" w:hAnsi="黑体" w:eastAsia="黑体"/>
              </w:rPr>
            </w:pPr>
          </w:p>
        </w:tc>
        <w:tc>
          <w:tcPr>
            <w:tcW w:w="604"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黑体" w:hAnsi="黑体" w:eastAsia="黑体"/>
              </w:rPr>
            </w:pPr>
          </w:p>
        </w:tc>
        <w:tc>
          <w:tcPr>
            <w:tcW w:w="658"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黑体" w:hAnsi="黑体" w:eastAsia="黑体"/>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5" w:leftChars="-50" w:right="-126" w:rightChars="-60"/>
              <w:jc w:val="center"/>
              <w:rPr>
                <w:rFonts w:ascii="黑体" w:hAnsi="黑体" w:eastAsia="黑体"/>
              </w:rPr>
            </w:pPr>
            <w:r>
              <w:rPr>
                <w:rFonts w:hint="eastAsia"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6" w:leftChars="-41" w:right="-88" w:rightChars="-42"/>
              <w:jc w:val="center"/>
              <w:rPr>
                <w:rFonts w:ascii="黑体" w:hAnsi="黑体" w:eastAsia="黑体"/>
              </w:rPr>
            </w:pPr>
            <w:r>
              <w:rPr>
                <w:rFonts w:hint="eastAsia"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26" w:leftChars="-60" w:right="-136" w:rightChars="-65"/>
              <w:jc w:val="center"/>
              <w:rPr>
                <w:rFonts w:ascii="黑体" w:hAnsi="黑体" w:eastAsia="黑体"/>
                <w:kern w:val="0"/>
                <w:sz w:val="20"/>
                <w:szCs w:val="20"/>
              </w:rPr>
            </w:pPr>
            <w:r>
              <w:rPr>
                <w:rFonts w:hint="eastAsia" w:ascii="黑体" w:hAnsi="黑体" w:eastAsia="黑体"/>
                <w:kern w:val="0"/>
                <w:sz w:val="20"/>
                <w:szCs w:val="20"/>
              </w:rPr>
              <w:t>其他</w:t>
            </w:r>
          </w:p>
          <w:p>
            <w:pPr>
              <w:widowControl/>
              <w:spacing w:line="560" w:lineRule="exact"/>
              <w:ind w:left="-126" w:leftChars="-60" w:right="-136" w:rightChars="-65"/>
              <w:jc w:val="center"/>
              <w:rPr>
                <w:rFonts w:ascii="黑体" w:hAnsi="黑体" w:eastAsia="黑体"/>
              </w:rPr>
            </w:pPr>
            <w:r>
              <w:rPr>
                <w:rFonts w:hint="eastAsia"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64" w:leftChars="-78" w:right="-153" w:rightChars="-73"/>
              <w:jc w:val="center"/>
              <w:rPr>
                <w:rFonts w:ascii="黑体" w:hAnsi="黑体" w:eastAsia="黑体"/>
                <w:kern w:val="0"/>
                <w:sz w:val="20"/>
                <w:szCs w:val="20"/>
              </w:rPr>
            </w:pPr>
            <w:r>
              <w:rPr>
                <w:rFonts w:hint="eastAsia" w:ascii="黑体" w:hAnsi="黑体" w:eastAsia="黑体"/>
                <w:kern w:val="0"/>
                <w:sz w:val="20"/>
                <w:szCs w:val="20"/>
              </w:rPr>
              <w:t>尚未</w:t>
            </w:r>
          </w:p>
          <w:p>
            <w:pPr>
              <w:widowControl/>
              <w:spacing w:line="560" w:lineRule="exact"/>
              <w:ind w:left="-164" w:leftChars="-78" w:right="-153" w:rightChars="-73"/>
              <w:jc w:val="center"/>
              <w:rPr>
                <w:rFonts w:ascii="黑体" w:hAnsi="黑体" w:eastAsia="黑体"/>
              </w:rPr>
            </w:pPr>
            <w:r>
              <w:rPr>
                <w:rFonts w:hint="eastAsia"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r>
              <w:rPr>
                <w:rFonts w:hint="eastAsia"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99" w:leftChars="-47" w:right="-78" w:rightChars="-37"/>
              <w:jc w:val="center"/>
              <w:rPr>
                <w:rFonts w:ascii="黑体" w:hAnsi="黑体" w:eastAsia="黑体"/>
              </w:rPr>
            </w:pPr>
            <w:r>
              <w:rPr>
                <w:rFonts w:hint="eastAsia"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36" w:leftChars="-65" w:right="-124" w:rightChars="-59"/>
              <w:jc w:val="center"/>
              <w:rPr>
                <w:rFonts w:ascii="黑体" w:hAnsi="黑体" w:eastAsia="黑体"/>
                <w:kern w:val="0"/>
                <w:sz w:val="20"/>
                <w:szCs w:val="20"/>
              </w:rPr>
            </w:pPr>
            <w:r>
              <w:rPr>
                <w:rFonts w:hint="eastAsia" w:ascii="黑体" w:hAnsi="黑体" w:eastAsia="黑体"/>
                <w:kern w:val="0"/>
                <w:sz w:val="20"/>
                <w:szCs w:val="20"/>
              </w:rPr>
              <w:t>结果</w:t>
            </w:r>
          </w:p>
          <w:p>
            <w:pPr>
              <w:widowControl/>
              <w:spacing w:line="560" w:lineRule="exact"/>
              <w:ind w:left="-136" w:leftChars="-65" w:right="-124" w:rightChars="-59"/>
              <w:jc w:val="center"/>
              <w:rPr>
                <w:rFonts w:ascii="黑体" w:hAnsi="黑体" w:eastAsia="黑体"/>
              </w:rPr>
            </w:pPr>
            <w:r>
              <w:rPr>
                <w:rFonts w:hint="eastAsia"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73" w:leftChars="-83" w:right="-134" w:rightChars="-64" w:hanging="1"/>
              <w:jc w:val="center"/>
              <w:rPr>
                <w:rFonts w:ascii="黑体" w:hAnsi="黑体" w:eastAsia="黑体"/>
                <w:kern w:val="0"/>
                <w:sz w:val="20"/>
                <w:szCs w:val="20"/>
              </w:rPr>
            </w:pPr>
            <w:r>
              <w:rPr>
                <w:rFonts w:hint="eastAsia" w:ascii="黑体" w:hAnsi="黑体" w:eastAsia="黑体"/>
                <w:kern w:val="0"/>
                <w:sz w:val="20"/>
                <w:szCs w:val="20"/>
              </w:rPr>
              <w:t>其他</w:t>
            </w:r>
          </w:p>
          <w:p>
            <w:pPr>
              <w:widowControl/>
              <w:spacing w:line="560" w:lineRule="exact"/>
              <w:ind w:left="-173" w:leftChars="-83" w:right="-134" w:rightChars="-64" w:hanging="1"/>
              <w:jc w:val="center"/>
              <w:rPr>
                <w:rFonts w:ascii="黑体" w:hAnsi="黑体" w:eastAsia="黑体"/>
              </w:rPr>
            </w:pPr>
            <w:r>
              <w:rPr>
                <w:rFonts w:hint="eastAsia"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67" w:leftChars="-33" w:right="-105" w:rightChars="-50" w:hanging="2" w:hangingChars="1"/>
              <w:jc w:val="center"/>
              <w:rPr>
                <w:rFonts w:ascii="黑体" w:hAnsi="黑体" w:eastAsia="黑体"/>
              </w:rPr>
            </w:pPr>
            <w:r>
              <w:rPr>
                <w:rFonts w:hint="eastAsia"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黑体" w:hAnsi="黑体" w:eastAsia="黑体"/>
              </w:rPr>
            </w:pPr>
            <w:r>
              <w:rPr>
                <w:rFonts w:hint="eastAsia" w:ascii="黑体" w:hAnsi="黑体" w:eastAsia="黑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rPr>
            </w:pPr>
            <w:r>
              <w:rPr>
                <w:rFonts w:hint="eastAsia" w:ascii="Times New Roman" w:hAnsi="Times New Roman"/>
              </w:rPr>
              <w:t>0</w:t>
            </w:r>
          </w:p>
        </w:tc>
      </w:tr>
    </w:tbl>
    <w:p>
      <w:pPr>
        <w:pStyle w:val="9"/>
        <w:widowControl/>
        <w:shd w:val="clear" w:color="auto" w:fill="FFFFFF"/>
        <w:spacing w:before="0" w:beforeAutospacing="0" w:after="0" w:afterAutospacing="0" w:line="560" w:lineRule="exact"/>
        <w:ind w:firstLine="640" w:firstLineChars="200"/>
        <w:jc w:val="both"/>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五、存在的主要问题及改进情况</w:t>
      </w:r>
    </w:p>
    <w:p>
      <w:pPr>
        <w:pStyle w:val="9"/>
        <w:widowControl/>
        <w:shd w:val="clear" w:color="auto" w:fill="FFFFFF"/>
        <w:spacing w:before="0" w:beforeAutospacing="0" w:after="0" w:afterAutospacing="0" w:line="56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存在的问题主要表现在公开意识不强，公开能力素质不适应新形势新要求，政策解读不够充分，解读广度和深度有待进一步提升。针对存在的问题，本年度有针对性地采取措施加以改进，取得一定成效：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一是加强教育培训。制定政务公开年度培训计划，通过“以会代训”、全员及新任职培训相结合的方式，提升培训质效，强化公开意识，提升公开能力。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二是强化督促指导。针对政府信息主动公开目录责任分工落实情况，定期对各科室公开的及时性、规范性、准确性进行督导检查，帮助解决问题，持续改进提升。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三是提高解读质效。落实政策解读“三同步”机制，通过主要负责人带头解读、新闻发布会解读、视频动漫解读等多种形式，进一步提高解读的针对性和可读性。</w:t>
      </w:r>
    </w:p>
    <w:p>
      <w:pPr>
        <w:pStyle w:val="9"/>
        <w:widowControl/>
        <w:shd w:val="clear" w:color="auto" w:fill="FFFFFF"/>
        <w:spacing w:before="0" w:beforeAutospacing="0" w:after="0" w:afterAutospacing="0" w:line="560" w:lineRule="exact"/>
        <w:ind w:firstLine="640" w:firstLineChars="200"/>
        <w:jc w:val="both"/>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六、其他需要报告的事项</w:t>
      </w:r>
    </w:p>
    <w:p>
      <w:pPr>
        <w:spacing w:line="560" w:lineRule="exact"/>
        <w:ind w:firstLine="640"/>
        <w:rPr>
          <w:rFonts w:ascii="仿宋_GB2312" w:eastAsia="仿宋_GB2312"/>
          <w:sz w:val="32"/>
          <w:szCs w:val="32"/>
        </w:rPr>
      </w:pPr>
      <w:r>
        <w:rPr>
          <w:rFonts w:hint="eastAsia" w:ascii="仿宋_GB2312" w:eastAsia="仿宋_GB2312"/>
          <w:sz w:val="32"/>
          <w:szCs w:val="32"/>
        </w:rPr>
        <w:t>1.依申请公开信息处理费收费情况。2022年度，我机关在办理政府信息公开申请过程中，未收取任何信息处理费。</w:t>
      </w:r>
    </w:p>
    <w:p>
      <w:pPr>
        <w:spacing w:line="560" w:lineRule="exact"/>
        <w:ind w:firstLine="640"/>
        <w:rPr>
          <w:rFonts w:ascii="仿宋_GB2312" w:eastAsia="仿宋_GB2312"/>
          <w:sz w:val="32"/>
          <w:szCs w:val="32"/>
        </w:rPr>
      </w:pPr>
      <w:r>
        <w:rPr>
          <w:rFonts w:hint="eastAsia" w:ascii="仿宋_GB2312" w:eastAsia="仿宋_GB2312"/>
          <w:sz w:val="32"/>
          <w:szCs w:val="32"/>
        </w:rPr>
        <w:t>2.本年度建议提案办理情况。2022年度，我机关未承办人大代表建议和政协委员提案，故无该类信息公开。</w:t>
      </w:r>
    </w:p>
    <w:p>
      <w:pPr>
        <w:widowControl/>
        <w:spacing w:line="560" w:lineRule="exact"/>
        <w:rPr>
          <w:rFonts w:ascii="长城小标宋体" w:hAnsi="长城小标宋体" w:eastAsia="仿宋_GB2312" w:cs="长城小标宋体"/>
          <w:sz w:val="44"/>
        </w:rPr>
      </w:pPr>
      <w:r>
        <w:rPr>
          <w:rFonts w:hint="eastAsia" w:ascii="仿宋_GB2312" w:eastAsia="仿宋_GB2312"/>
          <w:sz w:val="32"/>
          <w:szCs w:val="32"/>
        </w:rPr>
        <w:t xml:space="preserve">    3.政务公开制度、内容、形式和平台建设创新实践情况。一是举行2022年审计开放日活动，邀请新一届特约审计员参观政务公开专区，听取对审计工作意见建议。二是探索多渠道多载体宣传解读审计工作，审计提质增效推动经济监督走深走实系列工作经验做法在《山东新闻联播》播出，制作的“</w:t>
      </w:r>
      <w:r>
        <w:rPr>
          <w:rFonts w:hint="eastAsia" w:eastAsia="仿宋_GB2312"/>
          <w:sz w:val="32"/>
          <w:szCs w:val="32"/>
        </w:rPr>
        <w:t> </w:t>
      </w:r>
      <w:r>
        <w:rPr>
          <w:rFonts w:hint="eastAsia" w:ascii="仿宋_GB2312" w:eastAsia="仿宋_GB2312"/>
          <w:sz w:val="32"/>
          <w:szCs w:val="32"/>
        </w:rPr>
        <w:t>好young|审计青年说”视频荣获首届山东省审计机关审计好新闻展播活动优秀宣传作品“十佳动漫音频视频”。三是落实“管业务就要管公开”要求，在沂源县审计局试点打造“阳光沂审”政务公开品牌。四是首次运用人大委员和代表专题询问的方式推动审计查出突出问题整改落实，公开晾晒审计整改情况，把审计整改工作置于阳光下推进。</w:t>
      </w:r>
    </w:p>
    <w:p>
      <w:pPr>
        <w:spacing w:line="560" w:lineRule="exact"/>
        <w:ind w:firstLine="640"/>
        <w:rPr>
          <w:rFonts w:ascii="仿宋_GB2312" w:eastAsia="仿宋_GB2312"/>
          <w:sz w:val="32"/>
          <w:szCs w:val="32"/>
        </w:rPr>
      </w:pPr>
      <w:r>
        <w:rPr>
          <w:rFonts w:hint="eastAsia" w:ascii="仿宋_GB2312" w:eastAsia="仿宋_GB2312"/>
          <w:sz w:val="32"/>
          <w:szCs w:val="32"/>
        </w:rPr>
        <w:t>4.《2022年淄博市政务公开工作方案》落实情况。召开政务公开工作领导小组会议传达学习《2022年淄博市政务公开工作方案》精神，研究贯彻落实意见，制定《淄博市审计局2022年政务公开工作方案》，配发政务公开工作任务台账，明确责任科室、工作要求、公开时限等，逐项分解落实到位。</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46844"/>
      <w:docPartObj>
        <w:docPartGallery w:val="AutoText"/>
      </w:docPartObj>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1225"/>
    <w:rsid w:val="00087717"/>
    <w:rsid w:val="000E277F"/>
    <w:rsid w:val="00161225"/>
    <w:rsid w:val="004B06B6"/>
    <w:rsid w:val="00662455"/>
    <w:rsid w:val="006A72BE"/>
    <w:rsid w:val="009D50C2"/>
    <w:rsid w:val="00B53A64"/>
    <w:rsid w:val="00C21C6D"/>
    <w:rsid w:val="00CE1354"/>
    <w:rsid w:val="00DA5D6F"/>
    <w:rsid w:val="00E56E43"/>
    <w:rsid w:val="06AF46E5"/>
    <w:rsid w:val="0E394FB8"/>
    <w:rsid w:val="148B2523"/>
    <w:rsid w:val="1B28116D"/>
    <w:rsid w:val="1C002DD3"/>
    <w:rsid w:val="2D78466B"/>
    <w:rsid w:val="30C53CB8"/>
    <w:rsid w:val="33853D54"/>
    <w:rsid w:val="374A45A7"/>
    <w:rsid w:val="3FF969E5"/>
    <w:rsid w:val="422D5A21"/>
    <w:rsid w:val="423C7892"/>
    <w:rsid w:val="4B317D59"/>
    <w:rsid w:val="57DA42C0"/>
    <w:rsid w:val="5B9E6B2B"/>
    <w:rsid w:val="5C525559"/>
    <w:rsid w:val="68816CCB"/>
    <w:rsid w:val="68F83E4D"/>
    <w:rsid w:val="71686DDE"/>
    <w:rsid w:val="754E51EC"/>
    <w:rsid w:val="7A9936C0"/>
    <w:rsid w:val="7C3078AA"/>
    <w:rsid w:val="7F177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next w:val="4"/>
    <w:qFormat/>
    <w:uiPriority w:val="0"/>
    <w:pPr>
      <w:ind w:right="214"/>
    </w:pPr>
    <w:rPr>
      <w:rFonts w:ascii="仿宋_GB2312" w:eastAsia="仿宋_GB2312"/>
      <w:sz w:val="32"/>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ind w:firstLine="435"/>
    </w:pPr>
    <w:rPr>
      <w:rFonts w:ascii="方正仿宋简体" w:eastAsia="方正仿宋简体"/>
      <w:sz w:val="32"/>
    </w:rPr>
  </w:style>
  <w:style w:type="paragraph" w:styleId="6">
    <w:name w:val="Normal Indent"/>
    <w:basedOn w:val="1"/>
    <w:next w:val="1"/>
    <w:qFormat/>
    <w:uiPriority w:val="0"/>
    <w:pPr>
      <w:ind w:firstLine="420" w:firstLineChars="200"/>
    </w:pPr>
    <w:rPr>
      <w:rFonts w:ascii="Times New Roman" w:hAnsi="Times New Roman"/>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100" w:beforeAutospacing="1" w:after="100" w:afterAutospacing="1"/>
      <w:jc w:val="left"/>
    </w:pPr>
    <w:rPr>
      <w:rFonts w:cs="Times New Roman"/>
      <w:kern w:val="0"/>
      <w:sz w:val="24"/>
    </w:rPr>
  </w:style>
  <w:style w:type="character" w:customStyle="1" w:styleId="12">
    <w:name w:val="页眉 Char"/>
    <w:basedOn w:val="11"/>
    <w:link w:val="8"/>
    <w:semiHidden/>
    <w:qFormat/>
    <w:uiPriority w:val="99"/>
    <w:rPr>
      <w:kern w:val="2"/>
      <w:sz w:val="18"/>
      <w:szCs w:val="18"/>
    </w:rPr>
  </w:style>
  <w:style w:type="character" w:customStyle="1" w:styleId="13">
    <w:name w:val="页脚 Char"/>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518</Words>
  <Characters>2953</Characters>
  <Lines>24</Lines>
  <Paragraphs>6</Paragraphs>
  <TotalTime>1</TotalTime>
  <ScaleCrop>false</ScaleCrop>
  <LinksUpToDate>false</LinksUpToDate>
  <CharactersWithSpaces>3465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2023-02-01T02:25:00Z</dcterms:created>
  <dc:creator>hjlyc</dc:creator>
  <cp:lastModifiedBy>刘超</cp:lastModifiedBy>
  <dcterms:modified xsi:type="dcterms:W3CDTF">2023-02-10T01:08:44Z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6A30782645624FFA9B5DD5572E87BCBE</vt:lpwstr>
  </property>
</Properties>
</file>